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proofErr w:type="spellStart"/>
      <w:r w:rsidRPr="007C7B97">
        <w:rPr>
          <w:rFonts w:ascii="Garamond" w:eastAsia="Calibri" w:hAnsi="Garamond" w:cs="Times New Roman"/>
          <w:b/>
          <w:sz w:val="24"/>
          <w:szCs w:val="24"/>
          <w:lang w:val="en-US"/>
        </w:rPr>
        <w:t>António</w:t>
      </w:r>
      <w:proofErr w:type="spellEnd"/>
      <w:r w:rsidRPr="007C7B97">
        <w:rPr>
          <w:rFonts w:ascii="Garamond" w:eastAsia="Calibri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Pr="007C7B97">
        <w:rPr>
          <w:rFonts w:ascii="Garamond" w:eastAsia="Calibri" w:hAnsi="Garamond" w:cs="Times New Roman"/>
          <w:b/>
          <w:sz w:val="24"/>
          <w:szCs w:val="24"/>
          <w:lang w:val="en-US"/>
        </w:rPr>
        <w:t>Nóvoa</w:t>
      </w:r>
      <w:proofErr w:type="spellEnd"/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 is 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Full Professor of the Institute of Education and 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Honorary R</w:t>
      </w:r>
      <w:bookmarkStart w:id="0" w:name="_GoBack"/>
      <w:bookmarkEnd w:id="0"/>
      <w:r w:rsidRPr="007C7B97">
        <w:rPr>
          <w:rFonts w:ascii="Garamond" w:eastAsia="Calibri" w:hAnsi="Garamond" w:cs="Times New Roman"/>
          <w:sz w:val="24"/>
          <w:szCs w:val="24"/>
          <w:lang w:val="en-US"/>
        </w:rPr>
        <w:t>ector of the University of Lisbon.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He has been 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Rector of the University of Lisbon between 2006 and 2013.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He earned a 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PhD in Education from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 the University of Geneva (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1986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) and a 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PhD in History from the Unive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rsity of Paris IV - Sorbonne (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2006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)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He earned four Doctorates 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Honoris Causa 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from the Universities of 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Algarve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, Brasília, </w:t>
      </w:r>
      <w:proofErr w:type="spellStart"/>
      <w:r w:rsidRPr="007C7B97">
        <w:rPr>
          <w:rFonts w:ascii="Garamond" w:eastAsia="Calibri" w:hAnsi="Garamond" w:cs="Times New Roman"/>
          <w:sz w:val="24"/>
          <w:szCs w:val="24"/>
          <w:lang w:val="en-US"/>
        </w:rPr>
        <w:t>Lusófona</w:t>
      </w:r>
      <w:proofErr w:type="spellEnd"/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 and Rio de Janeiro.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President of ISCHE - International Association for the History of Education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 xml:space="preserve"> (2000-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2003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), his work is related with historical and comparative issues in education</w:t>
      </w:r>
      <w:r w:rsidRPr="007C7B97">
        <w:rPr>
          <w:rFonts w:ascii="Garamond" w:eastAsia="Calibri" w:hAnsi="Garamond" w:cs="Times New Roman"/>
          <w:sz w:val="24"/>
          <w:szCs w:val="24"/>
          <w:lang w:val="en-US"/>
        </w:rPr>
        <w:t>.</w:t>
      </w:r>
    </w:p>
    <w:p w:rsidR="00BA7EC4" w:rsidRPr="007C7B97" w:rsidRDefault="00BA7EC4">
      <w:pPr>
        <w:rPr>
          <w:rFonts w:ascii="Garamond" w:hAnsi="Garamond"/>
          <w:sz w:val="24"/>
          <w:szCs w:val="24"/>
          <w:lang w:val="en-US"/>
        </w:rPr>
      </w:pPr>
    </w:p>
    <w:p w:rsidR="007C7B97" w:rsidRPr="007C7B97" w:rsidRDefault="007C7B97">
      <w:pPr>
        <w:rPr>
          <w:rFonts w:ascii="Garamond" w:hAnsi="Garamond"/>
          <w:sz w:val="24"/>
          <w:szCs w:val="24"/>
          <w:u w:val="single"/>
          <w:lang w:val="en-US"/>
        </w:rPr>
      </w:pPr>
      <w:r w:rsidRPr="007C7B97">
        <w:rPr>
          <w:rFonts w:ascii="Garamond" w:hAnsi="Garamond"/>
          <w:sz w:val="24"/>
          <w:szCs w:val="24"/>
          <w:u w:val="single"/>
          <w:lang w:val="en-US"/>
        </w:rPr>
        <w:t>Selected publications</w:t>
      </w:r>
    </w:p>
    <w:p w:rsid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3"/>
          <w:szCs w:val="23"/>
          <w:lang w:val="en-US"/>
        </w:rPr>
      </w:pP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Nóvoa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,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António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 (2015). “Looking for freedom in contemporary universities: What is educational research for?!, </w:t>
      </w:r>
      <w:r w:rsidRPr="007C7B97">
        <w:rPr>
          <w:rFonts w:ascii="Garamond" w:eastAsia="Calibri" w:hAnsi="Garamond" w:cs="Times New Roman"/>
          <w:i/>
          <w:sz w:val="23"/>
          <w:szCs w:val="23"/>
          <w:lang w:val="en-US"/>
        </w:rPr>
        <w:t>European Educational Research Journal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>, vol. 14</w:t>
      </w:r>
      <w:r>
        <w:rPr>
          <w:rFonts w:ascii="Garamond" w:eastAsia="Calibri" w:hAnsi="Garamond" w:cs="Times New Roman"/>
          <w:sz w:val="23"/>
          <w:szCs w:val="23"/>
          <w:lang w:val="en-US"/>
        </w:rPr>
        <w:t>(1),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 pp. 3-10.</w:t>
      </w:r>
    </w:p>
    <w:p w:rsid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3"/>
          <w:szCs w:val="23"/>
          <w:lang w:val="en-US"/>
        </w:rPr>
      </w:pPr>
      <w:proofErr w:type="spellStart"/>
      <w:r w:rsidRPr="00B86772">
        <w:rPr>
          <w:rFonts w:ascii="Garamond" w:eastAsia="Calibri" w:hAnsi="Garamond" w:cs="Times New Roman"/>
          <w:sz w:val="23"/>
          <w:szCs w:val="23"/>
          <w:lang w:val="en-US"/>
        </w:rPr>
        <w:t>Nóvoa</w:t>
      </w:r>
      <w:proofErr w:type="spellEnd"/>
      <w:r w:rsidRPr="00B86772">
        <w:rPr>
          <w:rFonts w:ascii="Garamond" w:eastAsia="Calibri" w:hAnsi="Garamond" w:cs="Times New Roman"/>
          <w:sz w:val="23"/>
          <w:szCs w:val="23"/>
          <w:lang w:val="en-US"/>
        </w:rPr>
        <w:t xml:space="preserve">, </w:t>
      </w:r>
      <w:proofErr w:type="spellStart"/>
      <w:r w:rsidRPr="00B86772">
        <w:rPr>
          <w:rFonts w:ascii="Garamond" w:eastAsia="Calibri" w:hAnsi="Garamond" w:cs="Times New Roman"/>
          <w:sz w:val="23"/>
          <w:szCs w:val="23"/>
          <w:lang w:val="en-US"/>
        </w:rPr>
        <w:t>António</w:t>
      </w:r>
      <w:proofErr w:type="spellEnd"/>
      <w:r w:rsidRPr="00B86772">
        <w:rPr>
          <w:rFonts w:ascii="Garamond" w:eastAsia="Calibri" w:hAnsi="Garamond" w:cs="Times New Roman"/>
          <w:sz w:val="23"/>
          <w:szCs w:val="23"/>
          <w:lang w:val="en-US"/>
        </w:rPr>
        <w:t xml:space="preserve"> (2013). “The blindness of Europe: new fabrications in the European Educational Space”, </w:t>
      </w:r>
      <w:r w:rsidRPr="00B86772">
        <w:rPr>
          <w:rFonts w:ascii="Garamond" w:eastAsia="Calibri" w:hAnsi="Garamond" w:cs="Times New Roman"/>
          <w:i/>
          <w:sz w:val="23"/>
          <w:szCs w:val="23"/>
          <w:lang w:val="en-US"/>
        </w:rPr>
        <w:t>Sisyphus – Journal of Education</w:t>
      </w:r>
      <w:r w:rsidRPr="00B86772">
        <w:rPr>
          <w:rFonts w:ascii="Garamond" w:eastAsia="Calibri" w:hAnsi="Garamond" w:cs="Times New Roman"/>
          <w:sz w:val="23"/>
          <w:szCs w:val="23"/>
          <w:lang w:val="en-US"/>
        </w:rPr>
        <w:t>, vol. 1</w:t>
      </w:r>
      <w:r>
        <w:rPr>
          <w:rFonts w:ascii="Garamond" w:eastAsia="Calibri" w:hAnsi="Garamond" w:cs="Times New Roman"/>
          <w:sz w:val="23"/>
          <w:szCs w:val="23"/>
          <w:lang w:val="en-US"/>
        </w:rPr>
        <w:t>(1)</w:t>
      </w:r>
      <w:r w:rsidRPr="00B86772">
        <w:rPr>
          <w:rFonts w:ascii="Garamond" w:eastAsia="Calibri" w:hAnsi="Garamond" w:cs="Times New Roman"/>
          <w:sz w:val="23"/>
          <w:szCs w:val="23"/>
          <w:lang w:val="en-US"/>
        </w:rPr>
        <w:t>, pp. 104-123.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3"/>
          <w:szCs w:val="23"/>
          <w:lang w:val="en-US"/>
        </w:rPr>
      </w:pP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Nóvoa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,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António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 (2011). “Travelling, not arriving: an intellectual journey”. </w:t>
      </w:r>
      <w:r w:rsidRPr="007C7B97">
        <w:rPr>
          <w:rFonts w:ascii="Garamond" w:eastAsia="Calibri" w:hAnsi="Garamond" w:cs="Times New Roman"/>
          <w:i/>
          <w:sz w:val="23"/>
          <w:szCs w:val="23"/>
          <w:lang w:val="en-US"/>
        </w:rPr>
        <w:t>Educators of the Mediterranean: Up Close and Personal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 (Ronald Sultana, ed.). Rotterdam: Sense Publishers, pp. 197-207. 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3"/>
          <w:szCs w:val="23"/>
          <w:lang w:val="fr-FR"/>
        </w:rPr>
      </w:pPr>
      <w:proofErr w:type="spellStart"/>
      <w:r>
        <w:rPr>
          <w:rFonts w:ascii="Garamond" w:eastAsia="Calibri" w:hAnsi="Garamond" w:cs="Times New Roman"/>
          <w:sz w:val="23"/>
          <w:szCs w:val="23"/>
          <w:lang w:val="en-US"/>
        </w:rPr>
        <w:t>Nóvoa</w:t>
      </w:r>
      <w:proofErr w:type="spellEnd"/>
      <w:r>
        <w:rPr>
          <w:rFonts w:ascii="Garamond" w:eastAsia="Calibri" w:hAnsi="Garamond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Garamond" w:eastAsia="Calibri" w:hAnsi="Garamond" w:cs="Times New Roman"/>
          <w:sz w:val="23"/>
          <w:szCs w:val="23"/>
          <w:lang w:val="en-US"/>
        </w:rPr>
        <w:t>António</w:t>
      </w:r>
      <w:proofErr w:type="spellEnd"/>
      <w:r>
        <w:rPr>
          <w:rFonts w:ascii="Garamond" w:eastAsia="Calibri" w:hAnsi="Garamond" w:cs="Times New Roman"/>
          <w:sz w:val="23"/>
          <w:szCs w:val="23"/>
          <w:lang w:val="en-US"/>
        </w:rPr>
        <w:t xml:space="preserve"> 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(2010). “Governing without governing – The formation of a European educational space”. In </w:t>
      </w:r>
      <w:r w:rsidRPr="007C7B97">
        <w:rPr>
          <w:rFonts w:ascii="Garamond" w:eastAsia="Calibri" w:hAnsi="Garamond" w:cs="Times New Roman"/>
          <w:i/>
          <w:sz w:val="23"/>
          <w:szCs w:val="23"/>
          <w:lang w:val="en-US"/>
        </w:rPr>
        <w:t>The Routledge International Handbook of the Sociology of Education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 [Michael Apple, Stephen Ball &amp; Luis Armando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Gandin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, eds.]. </w:t>
      </w:r>
      <w:proofErr w:type="spellStart"/>
      <w:proofErr w:type="gram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Oxon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:</w:t>
      </w:r>
      <w:proofErr w:type="gram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Routledge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, pp. 264-273.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3"/>
          <w:szCs w:val="23"/>
          <w:lang w:val="fr-FR"/>
        </w:rPr>
      </w:pPr>
      <w:r w:rsidRPr="007C7B97">
        <w:rPr>
          <w:rFonts w:ascii="Garamond" w:eastAsia="Calibri" w:hAnsi="Garamond" w:cs="Times New Roman"/>
          <w:sz w:val="23"/>
          <w:szCs w:val="23"/>
        </w:rPr>
        <w:t xml:space="preserve">Nóvoa, António; Carvalho, Luís Miguel &amp;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</w:rPr>
        <w:t>Yanes</w:t>
      </w:r>
      <w:proofErr w:type="spellEnd"/>
      <w:r w:rsidRPr="007C7B97">
        <w:rPr>
          <w:rFonts w:ascii="Garamond" w:eastAsia="Calibri" w:hAnsi="Garamond" w:cs="Times New Roman"/>
          <w:sz w:val="23"/>
          <w:szCs w:val="23"/>
        </w:rPr>
        <w:t xml:space="preserve">, Cristina (2014). </w:t>
      </w:r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“La comparaison comme </w:t>
      </w:r>
      <w:proofErr w:type="gram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politique:</w:t>
      </w:r>
      <w:proofErr w:type="gram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 le tournant du début du 21e siècle”, </w:t>
      </w:r>
      <w:r w:rsidRPr="007C7B97">
        <w:rPr>
          <w:rFonts w:ascii="Garamond" w:eastAsia="Calibri" w:hAnsi="Garamond" w:cs="Times New Roman"/>
          <w:i/>
          <w:sz w:val="23"/>
          <w:szCs w:val="23"/>
          <w:lang w:val="fr-FR"/>
        </w:rPr>
        <w:t>Revue Suisse des Sciences de l’Éducation</w:t>
      </w:r>
      <w:r w:rsidRPr="007C7B97">
        <w:rPr>
          <w:rFonts w:ascii="Garamond" w:eastAsia="Calibri" w:hAnsi="Garamond" w:cs="Times New Roman"/>
          <w:sz w:val="23"/>
          <w:szCs w:val="23"/>
          <w:lang w:val="fr-FR"/>
        </w:rPr>
        <w:t>, vol. 36, n.º 2, pp. 265-282.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3"/>
          <w:szCs w:val="23"/>
          <w:lang w:val="fr-FR"/>
        </w:rPr>
      </w:pPr>
      <w:r w:rsidRPr="007C7B97">
        <w:rPr>
          <w:rFonts w:ascii="Garamond" w:eastAsia="Calibri" w:hAnsi="Garamond" w:cs="Times New Roman"/>
          <w:sz w:val="23"/>
          <w:szCs w:val="23"/>
        </w:rPr>
        <w:t xml:space="preserve">Nóvoa, António &amp;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</w:rPr>
        <w:t>Yariv-Mashal</w:t>
      </w:r>
      <w:proofErr w:type="spellEnd"/>
      <w:r w:rsidRPr="007C7B97">
        <w:rPr>
          <w:rFonts w:ascii="Garamond" w:eastAsia="Calibri" w:hAnsi="Garamond" w:cs="Times New Roman"/>
          <w:sz w:val="23"/>
          <w:szCs w:val="23"/>
        </w:rPr>
        <w:t xml:space="preserve">,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</w:rPr>
        <w:t>Tali</w:t>
      </w:r>
      <w:proofErr w:type="spellEnd"/>
      <w:r w:rsidRPr="007C7B97">
        <w:rPr>
          <w:rFonts w:ascii="Garamond" w:eastAsia="Calibri" w:hAnsi="Garamond" w:cs="Times New Roman"/>
          <w:sz w:val="23"/>
          <w:szCs w:val="23"/>
        </w:rPr>
        <w:t xml:space="preserve"> (2014). 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“Comparative research in education: A mode of governance or a historical journey?”, in Tara Fenwick, Eric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Mangez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 &amp; Jenny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Ozga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 (orgs.), </w:t>
      </w:r>
      <w:r w:rsidRPr="007C7B97">
        <w:rPr>
          <w:rFonts w:ascii="Garamond" w:eastAsia="Calibri" w:hAnsi="Garamond" w:cs="Times New Roman"/>
          <w:i/>
          <w:sz w:val="23"/>
          <w:szCs w:val="23"/>
          <w:lang w:val="en-US"/>
        </w:rPr>
        <w:t>Governing knowledge (World Yearbook of Education 2014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). </w:t>
      </w:r>
      <w:proofErr w:type="spellStart"/>
      <w:proofErr w:type="gram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Oxon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:</w:t>
      </w:r>
      <w:proofErr w:type="gram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Routledge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, pp. 13-30.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3"/>
          <w:szCs w:val="23"/>
          <w:lang w:val="fr-FR"/>
        </w:rPr>
      </w:pPr>
      <w:r w:rsidRPr="007C7B97">
        <w:rPr>
          <w:rFonts w:ascii="Garamond" w:eastAsia="Calibri" w:hAnsi="Garamond" w:cs="Times New Roman"/>
          <w:sz w:val="23"/>
          <w:szCs w:val="23"/>
        </w:rPr>
        <w:t xml:space="preserve">Nóvoa, António &amp;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</w:rPr>
        <w:t>Lawn</w:t>
      </w:r>
      <w:proofErr w:type="spellEnd"/>
      <w:r w:rsidRPr="007C7B97">
        <w:rPr>
          <w:rFonts w:ascii="Garamond" w:eastAsia="Calibri" w:hAnsi="Garamond" w:cs="Times New Roman"/>
          <w:sz w:val="23"/>
          <w:szCs w:val="23"/>
        </w:rPr>
        <w:t xml:space="preserve">, Martin, eds. 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(2002). </w:t>
      </w:r>
      <w:r w:rsidRPr="007C7B97">
        <w:rPr>
          <w:rFonts w:ascii="Garamond" w:eastAsia="Calibri" w:hAnsi="Garamond" w:cs="Times New Roman"/>
          <w:i/>
          <w:sz w:val="23"/>
          <w:szCs w:val="23"/>
          <w:lang w:val="en-US"/>
        </w:rPr>
        <w:t>Fabricating Europe - The formation of an education space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. </w:t>
      </w:r>
      <w:proofErr w:type="gram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Dordrecht:</w:t>
      </w:r>
      <w:proofErr w:type="gram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 Kluwer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Academic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Publishers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.</w:t>
      </w:r>
    </w:p>
    <w:p w:rsidR="007C7B97" w:rsidRPr="007C7B97" w:rsidRDefault="007C7B97" w:rsidP="007C7B97">
      <w:pPr>
        <w:spacing w:after="120" w:line="240" w:lineRule="auto"/>
        <w:jc w:val="both"/>
        <w:rPr>
          <w:rFonts w:ascii="Garamond" w:eastAsia="Calibri" w:hAnsi="Garamond" w:cs="Times New Roman"/>
          <w:sz w:val="23"/>
          <w:szCs w:val="23"/>
          <w:lang w:val="en-US"/>
        </w:rPr>
      </w:pP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Lawn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, Martin &amp;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>Nóvoa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, António (2005). </w:t>
      </w:r>
      <w:r w:rsidRPr="007C7B97">
        <w:rPr>
          <w:rFonts w:ascii="Garamond" w:eastAsia="Calibri" w:hAnsi="Garamond" w:cs="Times New Roman"/>
          <w:i/>
          <w:sz w:val="23"/>
          <w:szCs w:val="23"/>
          <w:lang w:val="fr-FR"/>
        </w:rPr>
        <w:t>L’Europe Réinventée - Regards critiques sur l’espace européen de l’éducation</w:t>
      </w:r>
      <w:r w:rsidRPr="007C7B97">
        <w:rPr>
          <w:rFonts w:ascii="Garamond" w:eastAsia="Calibri" w:hAnsi="Garamond" w:cs="Times New Roman"/>
          <w:sz w:val="23"/>
          <w:szCs w:val="23"/>
          <w:lang w:val="fr-FR"/>
        </w:rPr>
        <w:t xml:space="preserve">. </w:t>
      </w:r>
      <w:r w:rsidRPr="007C7B97">
        <w:rPr>
          <w:rFonts w:ascii="Garamond" w:eastAsia="Calibri" w:hAnsi="Garamond" w:cs="Times New Roman"/>
          <w:sz w:val="23"/>
          <w:szCs w:val="23"/>
          <w:lang w:val="en-US"/>
        </w:rPr>
        <w:t xml:space="preserve">Paris: </w:t>
      </w:r>
      <w:proofErr w:type="spellStart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L’Harmattan</w:t>
      </w:r>
      <w:proofErr w:type="spellEnd"/>
      <w:r w:rsidRPr="007C7B97">
        <w:rPr>
          <w:rFonts w:ascii="Garamond" w:eastAsia="Calibri" w:hAnsi="Garamond" w:cs="Times New Roman"/>
          <w:sz w:val="23"/>
          <w:szCs w:val="23"/>
          <w:lang w:val="en-US"/>
        </w:rPr>
        <w:t>.</w:t>
      </w:r>
    </w:p>
    <w:p w:rsidR="007C7B97" w:rsidRPr="007C7B97" w:rsidRDefault="007C7B97" w:rsidP="007C7B97">
      <w:pPr>
        <w:rPr>
          <w:rFonts w:ascii="Garamond" w:hAnsi="Garamond"/>
          <w:sz w:val="24"/>
          <w:szCs w:val="24"/>
          <w:lang w:val="en-US"/>
        </w:rPr>
      </w:pPr>
    </w:p>
    <w:sectPr w:rsidR="007C7B97" w:rsidRPr="007C7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97"/>
    <w:rsid w:val="007C7B97"/>
    <w:rsid w:val="00BA7EC4"/>
    <w:rsid w:val="00C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EE4"/>
  <w15:chartTrackingRefBased/>
  <w15:docId w15:val="{D11D0ADF-A49D-4FD2-BFC3-EAC792C8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2017-06-23T23:52:00Z</dcterms:created>
  <dcterms:modified xsi:type="dcterms:W3CDTF">2017-06-24T00:09:00Z</dcterms:modified>
</cp:coreProperties>
</file>